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C476F7">
        <w:rPr>
          <w:rFonts w:asciiTheme="minorHAnsi" w:hAnsiTheme="minorHAnsi" w:cstheme="minorHAnsi"/>
          <w:b/>
          <w:sz w:val="24"/>
        </w:rPr>
        <w:t>226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D97999">
        <w:rPr>
          <w:rFonts w:asciiTheme="minorHAnsi" w:hAnsiTheme="minorHAnsi" w:cstheme="minorHAnsi"/>
          <w:b/>
          <w:sz w:val="24"/>
          <w:u w:val="thick"/>
        </w:rPr>
        <w:t xml:space="preserve"> 100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D9799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serviço de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instalação </w:t>
      </w:r>
      <w:r w:rsidR="00D9799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de transmissor de rádio FM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,</w:t>
      </w:r>
      <w:r w:rsidR="0088472B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a futura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Rádio e TV </w:t>
      </w:r>
      <w:r w:rsidR="00812568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ultura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</w:t>
      </w:r>
      <w:r w:rsidR="000A389D">
        <w:rPr>
          <w:rFonts w:asciiTheme="minorHAnsi" w:hAnsiTheme="minorHAnsi" w:cstheme="minorHAnsi"/>
          <w:sz w:val="24"/>
          <w:szCs w:val="24"/>
        </w:rPr>
        <w:t>os serviços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 proposta</w:t>
      </w:r>
      <w:r w:rsidR="000A389D">
        <w:rPr>
          <w:rFonts w:asciiTheme="minorHAnsi" w:hAnsiTheme="minorHAnsi" w:cstheme="minorHAnsi"/>
          <w:sz w:val="24"/>
          <w:szCs w:val="24"/>
        </w:rPr>
        <w:t xml:space="preserve"> </w:t>
      </w:r>
      <w:r w:rsidRPr="00620109">
        <w:rPr>
          <w:rFonts w:asciiTheme="minorHAnsi" w:hAnsiTheme="minorHAnsi" w:cstheme="minorHAnsi"/>
          <w:sz w:val="24"/>
          <w:szCs w:val="24"/>
        </w:rPr>
        <w:t>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0A389D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88472B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F51626" w:rsidRDefault="000A389D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Hlk10188781"/>
      <w:r>
        <w:rPr>
          <w:rFonts w:asciiTheme="minorHAnsi" w:hAnsiTheme="minorHAnsi" w:cstheme="minorHAnsi"/>
        </w:rPr>
        <w:t>Rafaela Alice Alves Silva Franco Leal – RA Engenharia ME. CNPJ 26.353.732/0001-59</w:t>
      </w:r>
      <w:r w:rsidR="00C14057">
        <w:rPr>
          <w:rFonts w:asciiTheme="minorHAnsi" w:hAnsiTheme="minorHAnsi" w:cstheme="minorHAnsi"/>
        </w:rPr>
        <w:t>.</w:t>
      </w:r>
    </w:p>
    <w:p w:rsidR="000A389D" w:rsidRDefault="000A389D" w:rsidP="000A389D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9E4C0A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 pela Autoridade Competente desta Fundação, efetivando a </w:t>
      </w:r>
      <w:r w:rsidR="00C14057">
        <w:rPr>
          <w:rFonts w:asciiTheme="minorHAnsi" w:hAnsiTheme="minorHAnsi" w:cstheme="minorHAnsi"/>
        </w:rPr>
        <w:t xml:space="preserve">contratação dos serviços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C14057">
        <w:rPr>
          <w:rFonts w:asciiTheme="minorHAnsi" w:hAnsiTheme="minorHAnsi" w:cstheme="minorHAnsi"/>
        </w:rPr>
        <w:t xml:space="preserve"> 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 xml:space="preserve">ÇÃO DE </w:t>
      </w:r>
      <w:r w:rsidR="00C14057">
        <w:rPr>
          <w:rFonts w:asciiTheme="minorHAnsi" w:hAnsiTheme="minorHAnsi" w:cstheme="minorHAnsi"/>
          <w:spacing w:val="-2"/>
        </w:rPr>
        <w:t>SERVIÇO.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C14057">
        <w:rPr>
          <w:rFonts w:asciiTheme="minorHAnsi" w:hAnsiTheme="minorHAnsi" w:cstheme="minorHAnsi"/>
        </w:rPr>
        <w:t xml:space="preserve"> a solicitação</w:t>
      </w:r>
      <w:r w:rsidR="0088472B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C14057"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88472B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88472B">
        <w:rPr>
          <w:rFonts w:asciiTheme="minorHAnsi" w:hAnsiTheme="minorHAnsi" w:cstheme="minorHAnsi"/>
        </w:rPr>
        <w:t xml:space="preserve"> </w:t>
      </w:r>
      <w:r w:rsidR="00C14057">
        <w:rPr>
          <w:rFonts w:asciiTheme="minorHAnsi" w:hAnsiTheme="minorHAnsi" w:cstheme="minorHAnsi"/>
        </w:rPr>
        <w:t>solicitação do serviço foi</w:t>
      </w:r>
      <w:r w:rsidR="0088472B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="0088472B">
        <w:rPr>
          <w:rFonts w:asciiTheme="minorHAnsi" w:hAnsiTheme="minorHAnsi" w:cstheme="minorHAnsi"/>
          <w:sz w:val="24"/>
        </w:rPr>
        <w:t xml:space="preserve"> 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88472B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264B24">
        <w:rPr>
          <w:rFonts w:asciiTheme="minorHAnsi" w:hAnsiTheme="minorHAnsi" w:cstheme="minorHAnsi"/>
        </w:rPr>
        <w:t xml:space="preserve"> contratação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264B24">
        <w:rPr>
          <w:rFonts w:asciiTheme="minorHAnsi" w:hAnsiTheme="minorHAnsi" w:cstheme="minorHAnsi"/>
        </w:rPr>
        <w:t>e</w:t>
      </w:r>
      <w:r w:rsidRPr="00620109">
        <w:rPr>
          <w:rFonts w:asciiTheme="minorHAnsi" w:hAnsiTheme="minorHAnsi" w:cstheme="minorHAnsi"/>
        </w:rPr>
        <w:t xml:space="preserve"> compatíve</w:t>
      </w:r>
      <w:r w:rsidR="00264B24">
        <w:rPr>
          <w:rFonts w:asciiTheme="minorHAnsi" w:hAnsiTheme="minorHAnsi" w:cstheme="minorHAnsi"/>
        </w:rPr>
        <w:t>l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está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88472B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 xml:space="preserve">s </w:t>
      </w:r>
      <w:r w:rsidRPr="00620109">
        <w:rPr>
          <w:rFonts w:asciiTheme="minorHAnsi" w:hAnsiTheme="minorHAnsi" w:cstheme="minorHAnsi"/>
        </w:rPr>
        <w:t>deste objeto:</w:t>
      </w:r>
    </w:p>
    <w:p w:rsidR="00A2290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</w:t>
      </w:r>
      <w:r w:rsidR="00264B24">
        <w:rPr>
          <w:rFonts w:asciiTheme="minorHAnsi" w:hAnsiTheme="minorHAnsi" w:cstheme="minorHAnsi"/>
          <w:i/>
          <w:sz w:val="20"/>
        </w:rPr>
        <w:t>o serviço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264B24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>relacionado em anexo, conforme</w:t>
      </w:r>
      <w:proofErr w:type="gramStart"/>
      <w:r w:rsidRPr="00620109">
        <w:rPr>
          <w:rFonts w:asciiTheme="minorHAnsi" w:hAnsiTheme="minorHAnsi" w:cstheme="minorHAnsi"/>
          <w:i/>
          <w:sz w:val="20"/>
        </w:rPr>
        <w:t xml:space="preserve"> </w:t>
      </w:r>
      <w:r w:rsidR="00264B24">
        <w:rPr>
          <w:rFonts w:asciiTheme="minorHAnsi" w:hAnsiTheme="minorHAnsi" w:cstheme="minorHAnsi"/>
          <w:i/>
          <w:sz w:val="20"/>
        </w:rPr>
        <w:t xml:space="preserve"> </w:t>
      </w:r>
      <w:proofErr w:type="gramEnd"/>
      <w:r w:rsidR="00264B24">
        <w:rPr>
          <w:rFonts w:asciiTheme="minorHAnsi" w:hAnsiTheme="minorHAnsi" w:cstheme="minorHAnsi"/>
          <w:i/>
          <w:sz w:val="20"/>
        </w:rPr>
        <w:t xml:space="preserve">justificativa. 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88472B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empresa escolhida neste processo para sacramentar </w:t>
      </w:r>
      <w:r w:rsidR="00D34C1F">
        <w:rPr>
          <w:rFonts w:asciiTheme="minorHAnsi" w:hAnsiTheme="minorHAnsi" w:cstheme="minorHAnsi"/>
        </w:rPr>
        <w:t>o serviço</w:t>
      </w:r>
      <w:proofErr w:type="gramStart"/>
      <w:r w:rsidR="00D34C1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 </w:t>
      </w:r>
      <w:proofErr w:type="gramEnd"/>
      <w:r w:rsidRPr="00620109">
        <w:rPr>
          <w:rFonts w:asciiTheme="minorHAnsi" w:hAnsiTheme="minorHAnsi" w:cstheme="minorHAnsi"/>
        </w:rPr>
        <w:t>pretendidos,</w:t>
      </w:r>
      <w:r w:rsidR="00D34C1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0D7D28">
        <w:rPr>
          <w:rFonts w:asciiTheme="minorHAnsi" w:hAnsiTheme="minorHAnsi" w:cstheme="minorHAnsi"/>
        </w:rPr>
        <w:t>i</w:t>
      </w:r>
      <w:bookmarkStart w:id="1" w:name="_GoBack"/>
      <w:bookmarkEnd w:id="1"/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D34C1F" w:rsidRDefault="00D34C1F" w:rsidP="00D34C1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Rafaela Alice Alves Silva Franco Leal – RA Engenharia ME. CNPJ 26.353.732/0001-59.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88472B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D34C1F">
        <w:rPr>
          <w:rFonts w:asciiTheme="minorHAnsi" w:hAnsiTheme="minorHAnsi" w:cstheme="minorHAnsi"/>
        </w:rPr>
        <w:t xml:space="preserve">serviços </w:t>
      </w:r>
      <w:r w:rsidR="0062303B" w:rsidRPr="00620109">
        <w:rPr>
          <w:rFonts w:asciiTheme="minorHAnsi" w:hAnsiTheme="minorHAnsi" w:cstheme="minorHAnsi"/>
        </w:rPr>
        <w:t>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D34C1F" w:rsidRDefault="00D34C1F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D34C1F" w:rsidRDefault="00D34C1F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D34C1F" w:rsidRDefault="00D34C1F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Uberaba,</w:t>
      </w:r>
      <w:r w:rsidR="00D34C1F">
        <w:rPr>
          <w:rFonts w:asciiTheme="minorHAnsi" w:hAnsiTheme="minorHAnsi" w:cstheme="minorHAnsi"/>
        </w:rPr>
        <w:t xml:space="preserve"> 08</w:t>
      </w:r>
      <w:r w:rsidR="0014557A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D34C1F">
        <w:rPr>
          <w:rFonts w:asciiTheme="minorHAnsi" w:hAnsiTheme="minorHAnsi" w:cstheme="minorHAnsi"/>
        </w:rPr>
        <w:t>agosto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732D1C" w:rsidRDefault="00732D1C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732D1C" w:rsidRDefault="00732D1C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732D1C" w:rsidRDefault="00732D1C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8617A6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8617A6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1C" w:rsidRDefault="0034561C">
      <w:r>
        <w:separator/>
      </w:r>
    </w:p>
  </w:endnote>
  <w:endnote w:type="continuationSeparator" w:id="1">
    <w:p w:rsidR="0034561C" w:rsidRDefault="0034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8617A6">
    <w:pPr>
      <w:pStyle w:val="Corpodetexto"/>
      <w:spacing w:line="14" w:lineRule="auto"/>
      <w:rPr>
        <w:sz w:val="20"/>
      </w:rPr>
    </w:pPr>
    <w:r w:rsidRPr="008617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8617A6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8617A6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32D1C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1C" w:rsidRDefault="0034561C">
      <w:r>
        <w:separator/>
      </w:r>
    </w:p>
  </w:footnote>
  <w:footnote w:type="continuationSeparator" w:id="1">
    <w:p w:rsidR="0034561C" w:rsidRDefault="00345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17A6" w:rsidRPr="008617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CNPJ.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536E5"/>
    <w:rsid w:val="00076941"/>
    <w:rsid w:val="000A389D"/>
    <w:rsid w:val="000A4159"/>
    <w:rsid w:val="000B2CB1"/>
    <w:rsid w:val="000D3D62"/>
    <w:rsid w:val="000D7D28"/>
    <w:rsid w:val="000E28A6"/>
    <w:rsid w:val="000F4A12"/>
    <w:rsid w:val="0014557A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54A4"/>
    <w:rsid w:val="00220476"/>
    <w:rsid w:val="002402E4"/>
    <w:rsid w:val="00250BB3"/>
    <w:rsid w:val="0025401F"/>
    <w:rsid w:val="00264B24"/>
    <w:rsid w:val="0028084B"/>
    <w:rsid w:val="00285762"/>
    <w:rsid w:val="0028578B"/>
    <w:rsid w:val="002965D1"/>
    <w:rsid w:val="002A22D0"/>
    <w:rsid w:val="002E29D8"/>
    <w:rsid w:val="003036E0"/>
    <w:rsid w:val="0034561C"/>
    <w:rsid w:val="00345EA5"/>
    <w:rsid w:val="00364006"/>
    <w:rsid w:val="00376D69"/>
    <w:rsid w:val="00396514"/>
    <w:rsid w:val="003A5487"/>
    <w:rsid w:val="003B4606"/>
    <w:rsid w:val="00421C9E"/>
    <w:rsid w:val="004329CF"/>
    <w:rsid w:val="00451BED"/>
    <w:rsid w:val="00455788"/>
    <w:rsid w:val="00455E2A"/>
    <w:rsid w:val="00477E0E"/>
    <w:rsid w:val="004B264E"/>
    <w:rsid w:val="004D5B0A"/>
    <w:rsid w:val="004E1E57"/>
    <w:rsid w:val="00510969"/>
    <w:rsid w:val="00554718"/>
    <w:rsid w:val="005A30C0"/>
    <w:rsid w:val="005B09D1"/>
    <w:rsid w:val="005C7D44"/>
    <w:rsid w:val="00604AC6"/>
    <w:rsid w:val="00612F13"/>
    <w:rsid w:val="00620109"/>
    <w:rsid w:val="0062303B"/>
    <w:rsid w:val="00624A96"/>
    <w:rsid w:val="00640981"/>
    <w:rsid w:val="0068433F"/>
    <w:rsid w:val="00692698"/>
    <w:rsid w:val="006939A3"/>
    <w:rsid w:val="006C4288"/>
    <w:rsid w:val="006D6094"/>
    <w:rsid w:val="006F079E"/>
    <w:rsid w:val="006F4A97"/>
    <w:rsid w:val="00713684"/>
    <w:rsid w:val="00732D1C"/>
    <w:rsid w:val="0073748A"/>
    <w:rsid w:val="0073779E"/>
    <w:rsid w:val="007429BB"/>
    <w:rsid w:val="00750785"/>
    <w:rsid w:val="00775F2A"/>
    <w:rsid w:val="00792338"/>
    <w:rsid w:val="007A454D"/>
    <w:rsid w:val="007D30A4"/>
    <w:rsid w:val="00812568"/>
    <w:rsid w:val="008225DF"/>
    <w:rsid w:val="0082273C"/>
    <w:rsid w:val="0082284B"/>
    <w:rsid w:val="00854865"/>
    <w:rsid w:val="008617A6"/>
    <w:rsid w:val="00864662"/>
    <w:rsid w:val="008800A3"/>
    <w:rsid w:val="0088472B"/>
    <w:rsid w:val="00892766"/>
    <w:rsid w:val="00892DF9"/>
    <w:rsid w:val="008A6D22"/>
    <w:rsid w:val="008B499E"/>
    <w:rsid w:val="008D6EEC"/>
    <w:rsid w:val="008F11B6"/>
    <w:rsid w:val="009419BB"/>
    <w:rsid w:val="009472AF"/>
    <w:rsid w:val="00971D1F"/>
    <w:rsid w:val="00986BC0"/>
    <w:rsid w:val="009A59E9"/>
    <w:rsid w:val="009B543A"/>
    <w:rsid w:val="009C40CE"/>
    <w:rsid w:val="009C6866"/>
    <w:rsid w:val="009E4C0A"/>
    <w:rsid w:val="00A01761"/>
    <w:rsid w:val="00A157BD"/>
    <w:rsid w:val="00A22905"/>
    <w:rsid w:val="00A4163D"/>
    <w:rsid w:val="00A45370"/>
    <w:rsid w:val="00A902B0"/>
    <w:rsid w:val="00A912E9"/>
    <w:rsid w:val="00A9301F"/>
    <w:rsid w:val="00AA7382"/>
    <w:rsid w:val="00B065BE"/>
    <w:rsid w:val="00B20C45"/>
    <w:rsid w:val="00B85A0B"/>
    <w:rsid w:val="00B90342"/>
    <w:rsid w:val="00BA6F95"/>
    <w:rsid w:val="00BE48B5"/>
    <w:rsid w:val="00BE5D59"/>
    <w:rsid w:val="00C14057"/>
    <w:rsid w:val="00C14FD7"/>
    <w:rsid w:val="00C34441"/>
    <w:rsid w:val="00C34DB4"/>
    <w:rsid w:val="00C476F7"/>
    <w:rsid w:val="00C70AF0"/>
    <w:rsid w:val="00CE6DDF"/>
    <w:rsid w:val="00CF5C5A"/>
    <w:rsid w:val="00CF75E2"/>
    <w:rsid w:val="00D13572"/>
    <w:rsid w:val="00D34C1F"/>
    <w:rsid w:val="00D35D5F"/>
    <w:rsid w:val="00D46E17"/>
    <w:rsid w:val="00D75986"/>
    <w:rsid w:val="00D84A4D"/>
    <w:rsid w:val="00D97999"/>
    <w:rsid w:val="00DE7277"/>
    <w:rsid w:val="00E04F6E"/>
    <w:rsid w:val="00E31C7C"/>
    <w:rsid w:val="00E607DD"/>
    <w:rsid w:val="00E67862"/>
    <w:rsid w:val="00E70259"/>
    <w:rsid w:val="00E8384D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163D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A4163D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4163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4163D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A4163D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3E10-44B5-41E2-8FA6-89E89FAF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10</cp:revision>
  <cp:lastPrinted>2019-06-06T19:09:00Z</cp:lastPrinted>
  <dcterms:created xsi:type="dcterms:W3CDTF">2019-08-08T17:23:00Z</dcterms:created>
  <dcterms:modified xsi:type="dcterms:W3CDTF">2020-01-06T17:34:00Z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